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063" w:rsidRDefault="004C6F0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Bydgoszcz,  15 grudnia 2020 r.  L.dz. T-ZAA.052.6.2020.KSD</w:t>
      </w:r>
    </w:p>
    <w:p w:rsidR="005C2063" w:rsidRDefault="005C2063">
      <w:pPr>
        <w:pStyle w:val="Standard"/>
        <w:rPr>
          <w:rFonts w:ascii="Times New Roman" w:hAnsi="Times New Roman"/>
        </w:rPr>
      </w:pPr>
    </w:p>
    <w:p w:rsidR="005C2063" w:rsidRDefault="004C6F0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C2063" w:rsidRDefault="004C6F0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C2063" w:rsidRDefault="004C6F0C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ZAWIADOMIENIE O SPOSOBIE ZAŁATWIENIA PETYCJI </w:t>
      </w:r>
      <w:r>
        <w:rPr>
          <w:rFonts w:ascii="Times New Roman" w:hAnsi="Times New Roman"/>
        </w:rPr>
        <w:t xml:space="preserve">  </w:t>
      </w:r>
    </w:p>
    <w:p w:rsidR="005C2063" w:rsidRDefault="005C2063">
      <w:pPr>
        <w:pStyle w:val="Standard"/>
        <w:jc w:val="center"/>
        <w:rPr>
          <w:rFonts w:ascii="Times New Roman" w:hAnsi="Times New Roman"/>
        </w:rPr>
      </w:pPr>
    </w:p>
    <w:p w:rsidR="005C2063" w:rsidRDefault="005C2063">
      <w:pPr>
        <w:pStyle w:val="Standard"/>
        <w:jc w:val="center"/>
        <w:rPr>
          <w:rFonts w:ascii="Times New Roman" w:hAnsi="Times New Roman"/>
        </w:rPr>
      </w:pPr>
    </w:p>
    <w:p w:rsidR="005C2063" w:rsidRDefault="004C6F0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  <w:szCs w:val="22"/>
        </w:rPr>
        <w:t xml:space="preserve">Zgodnie z art. 13 ust. 1 </w:t>
      </w:r>
      <w:r>
        <w:rPr>
          <w:rFonts w:ascii="Times New Roman" w:hAnsi="Times New Roman"/>
          <w:i/>
          <w:iCs/>
          <w:sz w:val="22"/>
          <w:szCs w:val="22"/>
        </w:rPr>
        <w:t>ustawy z dnia 11 lipca 2014 r. o petycjach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 xml:space="preserve">(Dz.U. 2018 poz. 870) </w:t>
      </w:r>
      <w:r>
        <w:rPr>
          <w:rFonts w:ascii="Times New Roman" w:hAnsi="Times New Roman"/>
          <w:sz w:val="22"/>
          <w:szCs w:val="22"/>
        </w:rPr>
        <w:t xml:space="preserve">w związku </w:t>
      </w:r>
      <w:r w:rsidR="00E95889">
        <w:rPr>
          <w:rFonts w:ascii="Times New Roman" w:hAnsi="Times New Roman"/>
          <w:sz w:val="22"/>
          <w:szCs w:val="22"/>
        </w:rPr>
        <w:br/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z otrzymaną petycją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 sprawie </w:t>
      </w:r>
      <w:r>
        <w:rPr>
          <w:rFonts w:ascii="Times New Roman" w:hAnsi="Times New Roman"/>
          <w:i/>
          <w:iCs/>
          <w:color w:val="000000"/>
        </w:rPr>
        <w:t>większych zasad współżycia społecznego, reakcji, ochrony życia, zdrowia, mi</w:t>
      </w:r>
      <w:r>
        <w:rPr>
          <w:rFonts w:ascii="Times New Roman" w:hAnsi="Times New Roman"/>
          <w:i/>
          <w:iCs/>
          <w:color w:val="000000"/>
        </w:rPr>
        <w:t xml:space="preserve">enia, usprawnienia akcji ratunkowych, odpowiedniego zabezpieczenia i patrolowania rejonu, liczby miejsc ewakuacji, odpowiedniego zaalarmowania w pogotowiu sił i środków (policji, straży, ZRM, innych służb), </w:t>
      </w:r>
      <w:r>
        <w:rPr>
          <w:rFonts w:ascii="Times New Roman" w:hAnsi="Times New Roman"/>
          <w:sz w:val="22"/>
          <w:szCs w:val="22"/>
        </w:rPr>
        <w:t>przeprowadzono postępowanie w ramach, którego roz</w:t>
      </w:r>
      <w:r>
        <w:rPr>
          <w:rFonts w:ascii="Times New Roman" w:hAnsi="Times New Roman"/>
          <w:sz w:val="22"/>
          <w:szCs w:val="22"/>
        </w:rPr>
        <w:t>patrzono sformułowane sugestie. Przebieg postępowania kształtował się następująco:</w:t>
      </w:r>
    </w:p>
    <w:p w:rsidR="005C2063" w:rsidRDefault="004C6F0C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W dniu 8 grudnia 2020 r. do Komendy Wojewódzkiej Policji wpłynęła petycja za pośrednictwem środków komunikacji elektronicznej.</w:t>
      </w:r>
    </w:p>
    <w:p w:rsidR="005C2063" w:rsidRDefault="004C6F0C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Dokonano analizy nadesłanej korespondenc</w:t>
      </w:r>
      <w:r>
        <w:rPr>
          <w:rFonts w:ascii="Times New Roman" w:hAnsi="Times New Roman"/>
          <w:sz w:val="22"/>
          <w:szCs w:val="22"/>
        </w:rPr>
        <w:t>ji.</w:t>
      </w:r>
    </w:p>
    <w:p w:rsidR="005C2063" w:rsidRDefault="005C2063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C2063" w:rsidRDefault="004C6F0C">
      <w:pPr>
        <w:pStyle w:val="Standard"/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</w:t>
      </w:r>
    </w:p>
    <w:p w:rsidR="005C2063" w:rsidRDefault="005C2063">
      <w:pPr>
        <w:pStyle w:val="Standard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5C2063" w:rsidRDefault="004C6F0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ab/>
        <w:t xml:space="preserve">W toku przeprowadzonych czynności ustalono, że Policja nie posiada kompetencji </w:t>
      </w:r>
      <w:r>
        <w:rPr>
          <w:rFonts w:ascii="Times New Roman" w:hAnsi="Times New Roman"/>
        </w:rPr>
        <w:t xml:space="preserve">w zakresie rozstrzygania kwestii kierowanych propozycji zmian. </w:t>
      </w:r>
      <w:r>
        <w:rPr>
          <w:rFonts w:ascii="Times New Roman" w:hAnsi="Times New Roman"/>
          <w:color w:val="000000"/>
        </w:rPr>
        <w:t xml:space="preserve">Podniesione w piśmie postulaty w kwestii przekazywania co miesiąc informacji do </w:t>
      </w:r>
      <w:r>
        <w:rPr>
          <w:rFonts w:ascii="Times New Roman" w:hAnsi="Times New Roman"/>
          <w:i/>
          <w:color w:val="000000"/>
        </w:rPr>
        <w:t>miejscowej jed</w:t>
      </w:r>
      <w:r>
        <w:rPr>
          <w:rFonts w:ascii="Times New Roman" w:hAnsi="Times New Roman"/>
          <w:i/>
          <w:color w:val="000000"/>
        </w:rPr>
        <w:t>nostki policji, straży pożarnej, stacji pogotowia ratunkowego, urzędu gminy jako gminnego zarządzania kryzysowego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o liczbie osób </w:t>
      </w:r>
      <w:r>
        <w:rPr>
          <w:rFonts w:ascii="Times New Roman" w:hAnsi="Times New Roman"/>
          <w:i/>
          <w:color w:val="000000"/>
        </w:rPr>
        <w:t>w danym budynku, osób odwiedzających, liczby klientów, interesantów, petentów, pacjentów w danych godzinach i danym dniu</w:t>
      </w:r>
      <w:r>
        <w:rPr>
          <w:rFonts w:ascii="Times New Roman" w:hAnsi="Times New Roman"/>
          <w:color w:val="000000"/>
        </w:rPr>
        <w:t>, naru</w:t>
      </w:r>
      <w:r>
        <w:rPr>
          <w:rFonts w:ascii="Times New Roman" w:hAnsi="Times New Roman"/>
          <w:color w:val="000000"/>
        </w:rPr>
        <w:t xml:space="preserve">szyłby art. 51 ust. 1 i 2 </w:t>
      </w:r>
      <w:r>
        <w:rPr>
          <w:rFonts w:ascii="Times New Roman" w:hAnsi="Times New Roman"/>
        </w:rPr>
        <w:t xml:space="preserve">Konstytucji, a Policja nie gromadzi danych o obywatelach innych niż niezbędne w demokratycznym państwie prawnym.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Bez wątpienia ochrona prawa do prywatności gwarantowanego w art. 47 Konstytucji, tak jak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i pozostałych praw i woln</w:t>
      </w:r>
      <w:r>
        <w:rPr>
          <w:rFonts w:ascii="Times New Roman" w:hAnsi="Times New Roman"/>
        </w:rPr>
        <w:t>ości składających się na pełną treść prywatności, nie ma charakteru absolutnego i może podlegać ograniczeniom. Za ograniczeniem tym musi przemawiać jednak inna norma, zasada bądź też wartość konstytucyjna. Należy pamiętać, że stopień ograniczenia musi pozo</w:t>
      </w:r>
      <w:r>
        <w:rPr>
          <w:rFonts w:ascii="Times New Roman" w:hAnsi="Times New Roman"/>
        </w:rPr>
        <w:t>stawać w odpowiedniej proporcji do rangi interesu, któremu ograniczenie to ma służyć.</w:t>
      </w:r>
    </w:p>
    <w:p w:rsidR="005C2063" w:rsidRDefault="004C6F0C">
      <w:pPr>
        <w:pStyle w:val="Textbod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Odbiorcami petycji mogą być także organy władzy ustawodawczej, czyli sejm i senat,              </w:t>
      </w:r>
      <w:r w:rsidR="00077CF8">
        <w:rPr>
          <w:rFonts w:ascii="Times New Roman" w:hAnsi="Times New Roman"/>
        </w:rPr>
        <w:br/>
      </w:r>
      <w:r>
        <w:rPr>
          <w:rFonts w:ascii="Times New Roman" w:hAnsi="Times New Roman"/>
        </w:rPr>
        <w:t>a w samorządach – organy władzy stanowiącej, czyli sejmik wojewódzki, ra</w:t>
      </w:r>
      <w:r>
        <w:rPr>
          <w:rFonts w:ascii="Times New Roman" w:hAnsi="Times New Roman"/>
        </w:rPr>
        <w:t>da powiatu i rada gminy.</w:t>
      </w:r>
    </w:p>
    <w:p w:rsidR="005C2063" w:rsidRDefault="005C2063">
      <w:pPr>
        <w:pStyle w:val="Textbody"/>
        <w:spacing w:line="360" w:lineRule="auto"/>
        <w:jc w:val="both"/>
        <w:rPr>
          <w:rFonts w:hint="eastAsia"/>
        </w:rPr>
      </w:pPr>
    </w:p>
    <w:p w:rsidR="005C2063" w:rsidRDefault="004C6F0C">
      <w:pPr>
        <w:pStyle w:val="Standard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Wyk. w 2 egz.</w:t>
      </w:r>
    </w:p>
    <w:p w:rsidR="005C2063" w:rsidRDefault="004C6F0C">
      <w:pPr>
        <w:pStyle w:val="Standard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Wyk. KSD</w:t>
      </w:r>
    </w:p>
    <w:sectPr w:rsidR="005C2063">
      <w:pgSz w:w="11906" w:h="16838"/>
      <w:pgMar w:top="737" w:right="1134" w:bottom="73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F0C" w:rsidRDefault="004C6F0C">
      <w:pPr>
        <w:rPr>
          <w:rFonts w:hint="eastAsia"/>
        </w:rPr>
      </w:pPr>
      <w:r>
        <w:separator/>
      </w:r>
    </w:p>
  </w:endnote>
  <w:endnote w:type="continuationSeparator" w:id="0">
    <w:p w:rsidR="004C6F0C" w:rsidRDefault="004C6F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F0C" w:rsidRDefault="004C6F0C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4C6F0C" w:rsidRDefault="004C6F0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C2063"/>
    <w:rsid w:val="00077CF8"/>
    <w:rsid w:val="004C6F0C"/>
    <w:rsid w:val="005C2063"/>
    <w:rsid w:val="00E9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E432"/>
  <w15:docId w15:val="{6F001A6B-D78B-4AA0-9302-4F51DB39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Pawlaczyk</dc:creator>
  <cp:lastModifiedBy>Piotr Pawlaczyk</cp:lastModifiedBy>
  <cp:revision>3</cp:revision>
  <cp:lastPrinted>2020-12-15T08:34:00Z</cp:lastPrinted>
  <dcterms:created xsi:type="dcterms:W3CDTF">2020-12-23T19:27:00Z</dcterms:created>
  <dcterms:modified xsi:type="dcterms:W3CDTF">2020-12-23T19:27:00Z</dcterms:modified>
</cp:coreProperties>
</file>